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7B5111">
        <w:rPr>
          <w:rFonts w:ascii="Times New Roman" w:hAnsi="Times New Roman"/>
          <w:sz w:val="24"/>
        </w:rPr>
        <w:t>12059</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732D89" w:rsidRPr="00732D89">
        <w:rPr>
          <w:rFonts w:ascii="Arial" w:hAnsi="Arial" w:cs="Arial"/>
          <w:sz w:val="24"/>
          <w:lang w:val="en-US" w:eastAsia="zh-CN"/>
        </w:rPr>
        <w:t xml:space="preserve">LTE CGI reading with </w:t>
      </w:r>
      <w:r w:rsidR="00760667" w:rsidRPr="00732D89">
        <w:rPr>
          <w:rFonts w:ascii="Arial" w:hAnsi="Arial" w:cs="Arial"/>
          <w:sz w:val="24"/>
          <w:lang w:val="en-US" w:eastAsia="zh-CN"/>
        </w:rPr>
        <w:t>autonomous</w:t>
      </w:r>
      <w:r w:rsidR="00732D89" w:rsidRPr="00732D89">
        <w:rPr>
          <w:rFonts w:ascii="Arial" w:hAnsi="Arial" w:cs="Arial"/>
          <w:sz w:val="24"/>
          <w:lang w:val="en-US" w:eastAsia="zh-CN"/>
        </w:rPr>
        <w:t xml:space="preserve"> gaps with an NR serving cell</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32D89">
        <w:rPr>
          <w:rFonts w:ascii="Arial" w:hAnsi="Arial" w:cs="Arial"/>
          <w:sz w:val="24"/>
          <w:lang w:val="en-US" w:eastAsia="zh-CN"/>
        </w:rPr>
        <w:t>8.15.1.3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Default="00DE0401" w:rsidP="0065502B">
      <w:r>
        <w:t xml:space="preserve">In RAN#85, the WI for RRM enhancement in R16 was revised </w:t>
      </w:r>
      <w:r>
        <w:fldChar w:fldCharType="begin"/>
      </w:r>
      <w:r>
        <w:instrText xml:space="preserve"> REF _Ref19802584 \r \h </w:instrText>
      </w:r>
      <w:r>
        <w:fldChar w:fldCharType="separate"/>
      </w:r>
      <w:r>
        <w:t>[1]</w:t>
      </w:r>
      <w:r>
        <w:fldChar w:fldCharType="end"/>
      </w:r>
      <w:r>
        <w:t xml:space="preserve"> to include the following objective based on agreements from RAN4#92</w:t>
      </w:r>
    </w:p>
    <w:p w:rsidR="00B20B49" w:rsidRPr="003D53F9" w:rsidRDefault="00B20B49" w:rsidP="00B20B49">
      <w:pPr>
        <w:numPr>
          <w:ilvl w:val="1"/>
          <w:numId w:val="39"/>
        </w:numPr>
        <w:overflowPunct w:val="0"/>
        <w:autoSpaceDE w:val="0"/>
        <w:autoSpaceDN w:val="0"/>
        <w:adjustRightInd w:val="0"/>
        <w:spacing w:before="120" w:after="120"/>
        <w:textAlignment w:val="baseline"/>
        <w:rPr>
          <w:lang w:val="en-US"/>
        </w:rPr>
      </w:pPr>
      <w:r w:rsidRPr="003D53F9">
        <w:t>The RRM requirements for CGI reading with autonomous gap will be specified in Rel-16.</w:t>
      </w:r>
    </w:p>
    <w:p w:rsidR="00B20B49" w:rsidRDefault="00B20B49" w:rsidP="0065502B">
      <w:r>
        <w:t>For NR, there are two requirements which need to be evaluated</w:t>
      </w:r>
    </w:p>
    <w:p w:rsidR="00B20B49" w:rsidRPr="00B20B49" w:rsidRDefault="00B20B49" w:rsidP="00B20B49">
      <w:pPr>
        <w:pStyle w:val="ListParagraph"/>
        <w:numPr>
          <w:ilvl w:val="0"/>
          <w:numId w:val="40"/>
        </w:numPr>
      </w:pPr>
      <w:r>
        <w:rPr>
          <w:lang w:val="en-GB"/>
        </w:rPr>
        <w:t>The impact to an NR serving cell of LTE CGI reading (either in EN-DC/NE-DC or interRAT in SA/NR-DC)</w:t>
      </w:r>
    </w:p>
    <w:p w:rsidR="00B20B49" w:rsidRPr="00B20B49" w:rsidRDefault="00B20B49" w:rsidP="00B20B49">
      <w:pPr>
        <w:pStyle w:val="ListParagraph"/>
        <w:numPr>
          <w:ilvl w:val="0"/>
          <w:numId w:val="40"/>
        </w:numPr>
      </w:pPr>
      <w:r>
        <w:rPr>
          <w:lang w:val="en-GB"/>
        </w:rPr>
        <w:t>The impact to NR and LTE serving cells of NR CGI reading (either EN-DC/NE-DC or interRAT in LTE)</w:t>
      </w:r>
    </w:p>
    <w:p w:rsidR="00B20B49" w:rsidRDefault="00B20B49" w:rsidP="00B20B49">
      <w:pPr>
        <w:rPr>
          <w:b/>
        </w:rPr>
      </w:pPr>
      <w:r>
        <w:rPr>
          <w:b/>
        </w:rPr>
        <w:t>Proposal 1: RAN4 evaluates the impact to NR serving cells of LTE CGI reading and the impact to NR and LTE serving cells of NR CGI reading</w:t>
      </w:r>
    </w:p>
    <w:p w:rsidR="00B20B49" w:rsidRDefault="00B20B49" w:rsidP="00B20B49">
      <w:r>
        <w:t>In this contribution we deal with LTE CGI reading and discuss the impact to NR serving cells. The impact to LTE serving cells is already captured in 36.133, for example in EN-DC with an LTE PCell &amp; SCells, the impact of LTE CGI reading follows the existing requirements in 36.133.</w:t>
      </w:r>
    </w:p>
    <w:p w:rsidR="00B20B49" w:rsidRPr="00B20B49" w:rsidRDefault="00B20B49" w:rsidP="00B20B49">
      <w:r>
        <w:t xml:space="preserve">RAN4 has already agreed similar requirements for LTE RSTD, where the UE may have to decode MIB of the LTE RSTD reference cell to obtain the system frame number (SFN). </w:t>
      </w:r>
      <w:r w:rsidR="006D7888">
        <w:t>However, SIB1 decoding is not included in the RSTD procedure, so further analysis is required.</w:t>
      </w:r>
    </w:p>
    <w:p w:rsidR="00902595" w:rsidRDefault="00902595" w:rsidP="00902595">
      <w:pPr>
        <w:pStyle w:val="Heading1"/>
        <w:jc w:val="both"/>
        <w:rPr>
          <w:rFonts w:eastAsia="SimSun"/>
          <w:lang w:val="en-US" w:eastAsia="zh-CN"/>
        </w:rPr>
      </w:pPr>
      <w:r>
        <w:rPr>
          <w:rFonts w:eastAsia="SimSun"/>
          <w:lang w:val="en-US" w:eastAsia="zh-CN"/>
        </w:rPr>
        <w:t>Discussion</w:t>
      </w:r>
    </w:p>
    <w:p w:rsidR="002860A1" w:rsidRDefault="00B64EA8" w:rsidP="002860A1">
      <w:pPr>
        <w:rPr>
          <w:u w:val="single"/>
          <w:lang w:val="en-US" w:eastAsia="zh-CN"/>
        </w:rPr>
      </w:pPr>
      <w:r w:rsidRPr="00B64EA8">
        <w:rPr>
          <w:u w:val="single"/>
          <w:lang w:val="en-US" w:eastAsia="zh-CN"/>
        </w:rPr>
        <w:t>Recap on the assumptions used in LTE to specify CGI reading delay and missed ack/nack rate</w:t>
      </w:r>
    </w:p>
    <w:p w:rsidR="00B64EA8" w:rsidRPr="00B64EA8" w:rsidRDefault="00B64EA8" w:rsidP="002860A1">
      <w:pPr>
        <w:rPr>
          <w:lang w:val="en-US" w:eastAsia="zh-CN"/>
        </w:rPr>
      </w:pPr>
      <w:r w:rsidRPr="00B64EA8">
        <w:rPr>
          <w:lang w:val="en-US" w:eastAsia="zh-CN"/>
        </w:rPr>
        <w:t>The m</w:t>
      </w:r>
      <w:r>
        <w:rPr>
          <w:lang w:val="en-US" w:eastAsia="zh-CN"/>
        </w:rPr>
        <w:t xml:space="preserve">ethodology used to define CGI reading </w:t>
      </w:r>
      <w:r w:rsidR="00760667">
        <w:rPr>
          <w:lang w:val="en-US" w:eastAsia="zh-CN"/>
        </w:rPr>
        <w:t>requirements</w:t>
      </w:r>
      <w:r>
        <w:rPr>
          <w:lang w:val="en-US" w:eastAsia="zh-CN"/>
        </w:rPr>
        <w:t xml:space="preserve"> was decided by RAN4 in release 9. The assumptions made are documented on the cover page of the initial CR</w:t>
      </w:r>
      <w:r>
        <w:rPr>
          <w:lang w:val="en-US" w:eastAsia="zh-CN"/>
        </w:rPr>
        <w:fldChar w:fldCharType="begin"/>
      </w:r>
      <w:r>
        <w:rPr>
          <w:lang w:val="en-US" w:eastAsia="zh-CN"/>
        </w:rPr>
        <w:instrText xml:space="preserve"> REF _Ref20146473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in which the requirements are introduced. At this time the corresponding missed ACK/NACK rate was still indicated as TBD. </w:t>
      </w:r>
    </w:p>
    <w:tbl>
      <w:tblPr>
        <w:tblStyle w:val="TableGrid"/>
        <w:tblW w:w="0" w:type="auto"/>
        <w:tblLook w:val="04A0" w:firstRow="1" w:lastRow="0" w:firstColumn="1" w:lastColumn="0" w:noHBand="0" w:noVBand="1"/>
      </w:tblPr>
      <w:tblGrid>
        <w:gridCol w:w="10537"/>
      </w:tblGrid>
      <w:tr w:rsidR="00B64EA8" w:rsidTr="00B64EA8">
        <w:tc>
          <w:tcPr>
            <w:tcW w:w="10537" w:type="dxa"/>
          </w:tcPr>
          <w:p w:rsidR="00B64EA8" w:rsidRDefault="00B64EA8" w:rsidP="00B64EA8">
            <w:pPr>
              <w:pStyle w:val="CRCoverPage"/>
              <w:spacing w:after="0"/>
              <w:ind w:left="100"/>
              <w:rPr>
                <w:rFonts w:cs="Arial"/>
                <w:noProof/>
                <w:lang w:eastAsia="ja-JP"/>
              </w:rPr>
            </w:pPr>
            <w:r>
              <w:rPr>
                <w:rFonts w:cs="Arial" w:hint="eastAsia"/>
                <w:noProof/>
                <w:lang w:eastAsia="ja-JP"/>
              </w:rPr>
              <w:t xml:space="preserve">The requirements are based on the way forward document (R4-100244) which was </w:t>
            </w:r>
            <w:r w:rsidRPr="00DC0C88">
              <w:rPr>
                <w:rFonts w:cs="Arial"/>
                <w:noProof/>
                <w:lang w:eastAsia="ja-JP"/>
              </w:rPr>
              <w:t>technically agreed</w:t>
            </w:r>
            <w:r>
              <w:rPr>
                <w:rFonts w:cs="Arial" w:hint="eastAsia"/>
                <w:noProof/>
                <w:lang w:eastAsia="ja-JP"/>
              </w:rPr>
              <w:t xml:space="preserve"> in the last meeting RAN4 </w:t>
            </w:r>
            <w:r w:rsidRPr="00DC0C88">
              <w:rPr>
                <w:rFonts w:cs="Arial"/>
                <w:noProof/>
                <w:lang w:eastAsia="ja-JP"/>
              </w:rPr>
              <w:t>Ad hoc #2010-01</w:t>
            </w:r>
            <w:r>
              <w:rPr>
                <w:rFonts w:cs="Arial" w:hint="eastAsia"/>
                <w:noProof/>
                <w:lang w:eastAsia="ja-JP"/>
              </w:rPr>
              <w:t xml:space="preserve">. </w:t>
            </w:r>
          </w:p>
          <w:p w:rsidR="00B64EA8" w:rsidRDefault="00B64EA8" w:rsidP="00B64EA8">
            <w:pPr>
              <w:pStyle w:val="CRCoverPage"/>
              <w:spacing w:after="0"/>
              <w:ind w:left="100"/>
              <w:rPr>
                <w:rFonts w:cs="Arial"/>
                <w:noProof/>
                <w:lang w:eastAsia="ja-JP"/>
              </w:rPr>
            </w:pPr>
            <w:r>
              <w:rPr>
                <w:rFonts w:cs="Arial" w:hint="eastAsia"/>
                <w:noProof/>
                <w:lang w:eastAsia="ja-JP"/>
              </w:rPr>
              <w:t>Main proposals in this CR are as follows:</w:t>
            </w:r>
          </w:p>
          <w:p w:rsidR="00B64EA8" w:rsidRPr="00F3285D" w:rsidRDefault="00B64EA8" w:rsidP="00B64EA8">
            <w:pPr>
              <w:pStyle w:val="CRCoverPage"/>
              <w:spacing w:after="0"/>
              <w:ind w:left="100"/>
              <w:rPr>
                <w:rFonts w:cs="Arial"/>
                <w:b/>
                <w:noProof/>
                <w:u w:val="single"/>
                <w:lang w:eastAsia="ja-JP"/>
              </w:rPr>
            </w:pPr>
            <w:r w:rsidRPr="00F3285D">
              <w:rPr>
                <w:rFonts w:cs="Arial" w:hint="eastAsia"/>
                <w:b/>
                <w:noProof/>
                <w:u w:val="single"/>
                <w:lang w:eastAsia="ja-JP"/>
              </w:rPr>
              <w:t>Intra-frequency</w:t>
            </w:r>
            <w:r>
              <w:rPr>
                <w:rFonts w:cs="Arial" w:hint="eastAsia"/>
                <w:b/>
                <w:noProof/>
                <w:u w:val="single"/>
                <w:lang w:eastAsia="ja-JP"/>
              </w:rPr>
              <w:t>:</w:t>
            </w:r>
          </w:p>
          <w:p w:rsidR="00B64EA8" w:rsidRDefault="00B64EA8" w:rsidP="00B64EA8">
            <w:pPr>
              <w:pStyle w:val="CRCoverPage"/>
              <w:spacing w:after="0"/>
              <w:ind w:left="100"/>
              <w:rPr>
                <w:noProof/>
                <w:lang w:eastAsia="ja-JP"/>
              </w:rPr>
            </w:pPr>
            <w:r>
              <w:rPr>
                <w:rFonts w:hint="eastAsia"/>
                <w:noProof/>
                <w:lang w:eastAsia="ja-JP"/>
              </w:rPr>
              <w:t>- The side contidons are proposed as well as intra-frequency cell seach requirements for the minimum requirements.</w:t>
            </w:r>
          </w:p>
          <w:p w:rsidR="00B64EA8" w:rsidRDefault="00B64EA8" w:rsidP="00B64EA8">
            <w:pPr>
              <w:pStyle w:val="CRCoverPage"/>
              <w:spacing w:after="0"/>
              <w:ind w:left="100"/>
              <w:rPr>
                <w:noProof/>
                <w:lang w:eastAsia="ja-JP"/>
              </w:rPr>
            </w:pPr>
            <w:r>
              <w:rPr>
                <w:rFonts w:hint="eastAsia"/>
                <w:noProof/>
                <w:lang w:eastAsia="ja-JP"/>
              </w:rPr>
              <w:t>- [150] ms is proposed for the SI reading time requirement. The reasons are as follows:</w:t>
            </w:r>
          </w:p>
          <w:p w:rsidR="00B64EA8" w:rsidRDefault="00B64EA8" w:rsidP="00B64EA8">
            <w:pPr>
              <w:pStyle w:val="CRCoverPage"/>
              <w:spacing w:after="0"/>
              <w:ind w:left="100"/>
              <w:rPr>
                <w:noProof/>
                <w:lang w:eastAsia="ja-JP"/>
              </w:rPr>
            </w:pPr>
            <w:r>
              <w:rPr>
                <w:rFonts w:hint="eastAsia"/>
                <w:noProof/>
                <w:lang w:eastAsia="ja-JP"/>
              </w:rPr>
              <w:t xml:space="preserve"> -&gt;</w:t>
            </w:r>
            <w:r>
              <w:rPr>
                <w:rFonts w:hint="eastAsia"/>
                <w:lang w:eastAsia="ja-JP"/>
              </w:rPr>
              <w:t xml:space="preserve"> Both MIB and SIB1 can be surely decoded </w:t>
            </w:r>
            <w:r>
              <w:rPr>
                <w:lang w:eastAsia="ja-JP"/>
              </w:rPr>
              <w:t xml:space="preserve">within </w:t>
            </w:r>
            <w:r>
              <w:rPr>
                <w:rFonts w:hint="eastAsia"/>
                <w:lang w:eastAsia="ja-JP"/>
              </w:rPr>
              <w:t>3</w:t>
            </w:r>
            <w:r>
              <w:rPr>
                <w:lang w:eastAsia="ja-JP"/>
              </w:rPr>
              <w:t xml:space="preserve"> attempts with &gt;9</w:t>
            </w:r>
            <w:r>
              <w:rPr>
                <w:rFonts w:hint="eastAsia"/>
                <w:lang w:eastAsia="ja-JP"/>
              </w:rPr>
              <w:t>0</w:t>
            </w:r>
            <w:r w:rsidRPr="00B07E7B">
              <w:rPr>
                <w:lang w:eastAsia="ja-JP"/>
              </w:rPr>
              <w:t>% probability</w:t>
            </w:r>
            <w:r>
              <w:rPr>
                <w:rFonts w:hint="eastAsia"/>
                <w:lang w:eastAsia="ja-JP"/>
              </w:rPr>
              <w:t xml:space="preserve"> for Es/N0 &gt; -6 dB in EVA5</w:t>
            </w:r>
            <w:r>
              <w:rPr>
                <w:rFonts w:hint="eastAsia"/>
                <w:noProof/>
                <w:lang w:eastAsia="ja-JP"/>
              </w:rPr>
              <w:t xml:space="preserve"> according to the simulation results in R4-100206.</w:t>
            </w:r>
          </w:p>
          <w:p w:rsidR="00B64EA8" w:rsidRPr="00FF499A" w:rsidRDefault="00B64EA8" w:rsidP="00B64EA8">
            <w:pPr>
              <w:pStyle w:val="CRCoverPage"/>
              <w:spacing w:after="0"/>
              <w:ind w:left="100"/>
              <w:rPr>
                <w:noProof/>
                <w:lang w:eastAsia="ja-JP"/>
              </w:rPr>
            </w:pPr>
            <w:r>
              <w:rPr>
                <w:rFonts w:hint="eastAsia"/>
                <w:noProof/>
                <w:lang w:eastAsia="ja-JP"/>
              </w:rPr>
              <w:t xml:space="preserve"> -&gt; Taking into account the tail latency of each step (See the table in R4-100244), 5 attempts are applied respectively so that 5*10 + 5*20 = 150 ms is dereived.</w:t>
            </w:r>
          </w:p>
          <w:p w:rsidR="00B64EA8" w:rsidRPr="00FF499A" w:rsidRDefault="00B64EA8" w:rsidP="00B64EA8">
            <w:pPr>
              <w:pStyle w:val="CRCoverPage"/>
              <w:spacing w:after="0"/>
              <w:ind w:left="100"/>
              <w:rPr>
                <w:rFonts w:cs="Arial"/>
                <w:b/>
                <w:noProof/>
                <w:u w:val="single"/>
                <w:lang w:eastAsia="ja-JP"/>
              </w:rPr>
            </w:pPr>
            <w:r>
              <w:rPr>
                <w:rFonts w:cs="Arial" w:hint="eastAsia"/>
                <w:b/>
                <w:noProof/>
                <w:u w:val="single"/>
                <w:lang w:eastAsia="ja-JP"/>
              </w:rPr>
              <w:t>Inter</w:t>
            </w:r>
            <w:r w:rsidRPr="00F3285D">
              <w:rPr>
                <w:rFonts w:cs="Arial" w:hint="eastAsia"/>
                <w:b/>
                <w:noProof/>
                <w:u w:val="single"/>
                <w:lang w:eastAsia="ja-JP"/>
              </w:rPr>
              <w:t>-frequency</w:t>
            </w:r>
            <w:r>
              <w:rPr>
                <w:rFonts w:cs="Arial" w:hint="eastAsia"/>
                <w:b/>
                <w:noProof/>
                <w:u w:val="single"/>
                <w:lang w:eastAsia="ja-JP"/>
              </w:rPr>
              <w:t>:</w:t>
            </w:r>
          </w:p>
          <w:p w:rsidR="00B64EA8" w:rsidRDefault="00B64EA8" w:rsidP="00B64EA8">
            <w:pPr>
              <w:pStyle w:val="CRCoverPage"/>
              <w:spacing w:after="0"/>
              <w:ind w:left="100"/>
              <w:rPr>
                <w:noProof/>
                <w:lang w:eastAsia="ja-JP"/>
              </w:rPr>
            </w:pPr>
            <w:r>
              <w:rPr>
                <w:rFonts w:hint="eastAsia"/>
                <w:noProof/>
                <w:lang w:eastAsia="ja-JP"/>
              </w:rPr>
              <w:t>- The minimum requirement for SI reading is proposed as same as Intra-frequency, i.e. 150 ms.</w:t>
            </w:r>
          </w:p>
          <w:p w:rsidR="00B64EA8" w:rsidRDefault="00B64EA8" w:rsidP="00B64EA8">
            <w:pPr>
              <w:rPr>
                <w:u w:val="single"/>
                <w:lang w:val="en-US" w:eastAsia="zh-CN"/>
              </w:rPr>
            </w:pPr>
            <w:r>
              <w:rPr>
                <w:rFonts w:hint="eastAsia"/>
                <w:noProof/>
                <w:lang w:eastAsia="ja-JP"/>
              </w:rPr>
              <w:t>- The only side conditions for the minimum requirements are relaxed compared to Intra-frequency case as well as cell search requirements.</w:t>
            </w:r>
          </w:p>
        </w:tc>
      </w:tr>
    </w:tbl>
    <w:p w:rsidR="00B64EA8" w:rsidRDefault="00B64EA8" w:rsidP="002860A1">
      <w:pPr>
        <w:rPr>
          <w:u w:val="single"/>
          <w:lang w:val="en-US" w:eastAsia="zh-CN"/>
        </w:rPr>
      </w:pPr>
    </w:p>
    <w:p w:rsidR="00E0511C" w:rsidRDefault="00E0511C" w:rsidP="002860A1">
      <w:pPr>
        <w:rPr>
          <w:lang w:val="en-US" w:eastAsia="zh-CN"/>
        </w:rPr>
      </w:pPr>
      <w:r w:rsidRPr="00E0511C">
        <w:rPr>
          <w:lang w:val="en-US" w:eastAsia="zh-CN"/>
        </w:rPr>
        <w:lastRenderedPageBreak/>
        <w:t xml:space="preserve">The </w:t>
      </w:r>
      <w:r>
        <w:rPr>
          <w:lang w:val="en-US" w:eastAsia="zh-CN"/>
        </w:rPr>
        <w:t xml:space="preserve">scenario for 3 attempts and 7 interruptions for MIB/SIB1 reading is shown in figure 1, taken from </w:t>
      </w:r>
    </w:p>
    <w:p w:rsidR="00E0511C" w:rsidRPr="00E0511C" w:rsidRDefault="00E0511C" w:rsidP="002860A1">
      <w:pPr>
        <w:rPr>
          <w:lang w:val="en-US" w:eastAsia="zh-CN"/>
        </w:rPr>
      </w:pPr>
      <w:r>
        <w:object w:dxaOrig="9192" w:dyaOrig="1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518.5pt" o:ole="">
            <v:imagedata r:id="rId13" o:title=""/>
          </v:shape>
          <o:OLEObject Type="Embed" ProgID="Visio.Drawing.11" ShapeID="_x0000_i1025" DrawAspect="Content" ObjectID="_1631709134" r:id="rId14"/>
        </w:object>
      </w:r>
    </w:p>
    <w:p w:rsidR="00E0511C" w:rsidRPr="00E0511C" w:rsidRDefault="00E0511C" w:rsidP="002860A1">
      <w:pPr>
        <w:rPr>
          <w:b/>
          <w:lang w:val="en-US" w:eastAsia="zh-CN"/>
        </w:rPr>
      </w:pPr>
      <w:r>
        <w:rPr>
          <w:b/>
          <w:lang w:val="en-US" w:eastAsia="zh-CN"/>
        </w:rPr>
        <w:t>Figure 1 : Number of PDSCH/PDCCH interruptions needed to allow 3 attempts at MIB decoding from the same update period</w:t>
      </w:r>
    </w:p>
    <w:p w:rsidR="00B64EA8" w:rsidRPr="00B64EA8" w:rsidRDefault="00DE20C7" w:rsidP="002860A1">
      <w:pPr>
        <w:rPr>
          <w:lang w:val="en-US" w:eastAsia="zh-CN"/>
        </w:rPr>
      </w:pPr>
      <w:r>
        <w:rPr>
          <w:lang w:val="en-US" w:eastAsia="zh-CN"/>
        </w:rPr>
        <w:t xml:space="preserve">For each individual autonomous gap, the missed ACK/NACK rate was agreed in </w:t>
      </w:r>
      <w:r>
        <w:rPr>
          <w:lang w:val="en-US" w:eastAsia="zh-CN"/>
        </w:rPr>
        <w:fldChar w:fldCharType="begin"/>
      </w:r>
      <w:r>
        <w:rPr>
          <w:lang w:val="en-US" w:eastAsia="zh-CN"/>
        </w:rPr>
        <w:instrText xml:space="preserve"> REF _Ref20205518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Again, further details are provided on the cover page</w:t>
      </w:r>
      <w:r w:rsidR="00B20B49">
        <w:rPr>
          <w:lang w:val="en-US" w:eastAsia="zh-CN"/>
        </w:rPr>
        <w:t xml:space="preserve"> of the CR introducing the requirement</w:t>
      </w:r>
      <w:r>
        <w:rPr>
          <w:lang w:val="en-US" w:eastAsia="zh-CN"/>
        </w:rPr>
        <w:t>.</w:t>
      </w:r>
    </w:p>
    <w:tbl>
      <w:tblPr>
        <w:tblStyle w:val="TableGrid"/>
        <w:tblW w:w="0" w:type="auto"/>
        <w:tblLook w:val="04A0" w:firstRow="1" w:lastRow="0" w:firstColumn="1" w:lastColumn="0" w:noHBand="0" w:noVBand="1"/>
      </w:tblPr>
      <w:tblGrid>
        <w:gridCol w:w="10537"/>
      </w:tblGrid>
      <w:tr w:rsidR="00DE20C7" w:rsidTr="00DE20C7">
        <w:tc>
          <w:tcPr>
            <w:tcW w:w="10537" w:type="dxa"/>
          </w:tcPr>
          <w:p w:rsidR="00DE20C7" w:rsidRPr="00DE20C7" w:rsidRDefault="00DE20C7" w:rsidP="00DE20C7">
            <w:pPr>
              <w:pStyle w:val="CRCoverPage"/>
              <w:ind w:left="100"/>
              <w:rPr>
                <w:noProof/>
              </w:rPr>
            </w:pPr>
            <w:r>
              <w:rPr>
                <w:noProof/>
              </w:rPr>
              <w:t>- Requirement is that 60 ACK/NACK sendings occur during autonomous ECGI reading. This is based on the analysis in R4-101149, which assumes 4 subframes are interrupted on both uplink and downlink for each SI decoding gap, except for the first gap where 9 subframes are interrupted due to the need to aquire AFC syncronisation with HeNB (up to 0.3ppm difference in frequency from serving cell may otherwise have impact on UE demodulation perfomance)</w:t>
            </w:r>
          </w:p>
        </w:tc>
      </w:tr>
    </w:tbl>
    <w:p w:rsidR="00AE1A5D" w:rsidRDefault="00AE1A5D" w:rsidP="00AE1A5D">
      <w:pPr>
        <w:rPr>
          <w:lang w:val="en-US" w:eastAsia="zh-CN"/>
        </w:rPr>
      </w:pPr>
    </w:p>
    <w:p w:rsidR="00DE20C7" w:rsidRDefault="00DE20C7" w:rsidP="00AE1A5D">
      <w:pPr>
        <w:rPr>
          <w:lang w:val="en-US" w:eastAsia="zh-CN"/>
        </w:rPr>
      </w:pPr>
      <w:r>
        <w:rPr>
          <w:lang w:val="en-US" w:eastAsia="zh-CN"/>
        </w:rPr>
        <w:lastRenderedPageBreak/>
        <w:t>One significant discussion during the release 9 work item was whether autonomous gaps for intrafrequency SI reading would interrupt the uplink. In the end, the conclusion was that there would be an interruption of UL allowed, since a HeNB frequency reference can be significantly in error (±0.25ppm absolute) and a UE which tunes the UE local oscillator to be syncronised with the HeNB downlink would be out of spec for frequency error on its uplink transmissions to the macro cell (±0.1ppm relative to the macro cell downlink is allowed) .</w:t>
      </w:r>
    </w:p>
    <w:p w:rsidR="00B20B49" w:rsidRDefault="00B20B49" w:rsidP="00B20B49">
      <w:pPr>
        <w:tabs>
          <w:tab w:val="left" w:pos="7190"/>
        </w:tabs>
        <w:rPr>
          <w:u w:val="single"/>
          <w:lang w:val="en-US" w:eastAsia="zh-CN"/>
        </w:rPr>
      </w:pPr>
      <w:r>
        <w:rPr>
          <w:u w:val="single"/>
          <w:lang w:val="en-US" w:eastAsia="zh-CN"/>
        </w:rPr>
        <w:t>Assumptions for i</w:t>
      </w:r>
      <w:r w:rsidRPr="00B20B49">
        <w:rPr>
          <w:u w:val="single"/>
          <w:lang w:val="en-US" w:eastAsia="zh-CN"/>
        </w:rPr>
        <w:t>mpact on an NR serving cell</w:t>
      </w:r>
    </w:p>
    <w:p w:rsidR="006D7888" w:rsidRDefault="006D7888" w:rsidP="00B20B49">
      <w:pPr>
        <w:tabs>
          <w:tab w:val="left" w:pos="7190"/>
        </w:tabs>
        <w:rPr>
          <w:lang w:val="en-US" w:eastAsia="zh-CN"/>
        </w:rPr>
      </w:pPr>
      <w:r w:rsidRPr="006D7888">
        <w:rPr>
          <w:lang w:val="en-US" w:eastAsia="zh-CN"/>
        </w:rPr>
        <w:t>Our</w:t>
      </w:r>
      <w:r>
        <w:rPr>
          <w:lang w:val="en-US" w:eastAsia="zh-CN"/>
        </w:rPr>
        <w:t xml:space="preserve"> view is that the same assumptions that are reviewed above should be used to derive NR CGI reporting delay and missed ACK/NACK rate.</w:t>
      </w:r>
    </w:p>
    <w:p w:rsidR="006D7888" w:rsidRPr="006D7888" w:rsidRDefault="006D7888" w:rsidP="00B20B49">
      <w:pPr>
        <w:tabs>
          <w:tab w:val="left" w:pos="7190"/>
        </w:tabs>
        <w:rPr>
          <w:b/>
          <w:lang w:val="en-US" w:eastAsia="zh-CN"/>
        </w:rPr>
      </w:pPr>
      <w:r>
        <w:rPr>
          <w:b/>
          <w:lang w:val="en-US" w:eastAsia="zh-CN"/>
        </w:rPr>
        <w:t xml:space="preserve">Proposal 1: The assumptions for NR serving </w:t>
      </w:r>
      <w:r w:rsidRPr="006D7888">
        <w:rPr>
          <w:b/>
          <w:lang w:val="en-US" w:eastAsia="zh-CN"/>
        </w:rPr>
        <w:t>cell impact of LTE CGI reading are</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Up to 3 attempts are needed for MIB decoding and up to 3 attempts are needed for SIB1 decoding at -6dB Es/Iot</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This causes up to 5+5 interruptions of PDSCH/PDCCH/PUSCH/PUCCH</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The first interruption causes 8+1 subframes to be lost and subsequent interruptions cause 3+1 subframes to be lost on uplink and downlink</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 xml:space="preserve"> The additional “+1” subframe is due to possible async operation of the target cell for CGI decoding</w:t>
      </w:r>
    </w:p>
    <w:p w:rsidR="006D7888" w:rsidRDefault="006D7888" w:rsidP="00B20B49">
      <w:pPr>
        <w:tabs>
          <w:tab w:val="left" w:pos="7190"/>
        </w:tabs>
        <w:rPr>
          <w:lang w:val="en-US" w:eastAsia="zh-CN"/>
        </w:rPr>
      </w:pPr>
      <w:r>
        <w:rPr>
          <w:lang w:val="en-US" w:eastAsia="zh-CN"/>
        </w:rPr>
        <w:t>For the reporting delay therefore, the analysis will be identical whether the CGI is reported to an LTE cell or an NR cell, so we propose</w:t>
      </w:r>
    </w:p>
    <w:p w:rsidR="006D7888" w:rsidRPr="006D7888" w:rsidRDefault="006D7888" w:rsidP="00B20B49">
      <w:pPr>
        <w:tabs>
          <w:tab w:val="left" w:pos="7190"/>
        </w:tabs>
        <w:rPr>
          <w:b/>
          <w:lang w:val="en-US" w:eastAsia="zh-CN"/>
        </w:rPr>
      </w:pPr>
      <w:r>
        <w:rPr>
          <w:b/>
          <w:lang w:val="en-US" w:eastAsia="zh-CN"/>
        </w:rPr>
        <w:t>Proposal 2 : CGI reporting delay for an LTE target cell when reporting to an NR serving cell is 150ms</w:t>
      </w:r>
    </w:p>
    <w:p w:rsidR="00B20B49" w:rsidRDefault="00B20B49" w:rsidP="00B20B49">
      <w:pPr>
        <w:tabs>
          <w:tab w:val="left" w:pos="7190"/>
        </w:tabs>
        <w:rPr>
          <w:lang w:val="en-US" w:eastAsia="zh-CN"/>
        </w:rPr>
      </w:pPr>
      <w:r w:rsidRPr="00B20B49">
        <w:rPr>
          <w:lang w:val="en-US" w:eastAsia="zh-CN"/>
        </w:rPr>
        <w:t>D</w:t>
      </w:r>
      <w:r>
        <w:rPr>
          <w:lang w:val="en-US" w:eastAsia="zh-CN"/>
        </w:rPr>
        <w:t>ue to different numerology and ACK/NACK timing</w:t>
      </w:r>
      <w:r w:rsidR="006D7888">
        <w:rPr>
          <w:lang w:val="en-US" w:eastAsia="zh-CN"/>
        </w:rPr>
        <w:t xml:space="preserve"> in NR, the missed ACK/NACK rate needs to be reevaluated for each possible PDSCH/PDCCH/PUSCH/PUCCH numerology.</w:t>
      </w:r>
    </w:p>
    <w:p w:rsidR="006D7888" w:rsidRPr="006D7888" w:rsidRDefault="006D7888" w:rsidP="00B20B49">
      <w:pPr>
        <w:tabs>
          <w:tab w:val="left" w:pos="7190"/>
        </w:tabs>
        <w:rPr>
          <w:b/>
          <w:lang w:val="en-US" w:eastAsia="zh-CN"/>
        </w:rPr>
      </w:pPr>
      <w:r>
        <w:rPr>
          <w:b/>
          <w:lang w:val="en-US" w:eastAsia="zh-CN"/>
        </w:rPr>
        <w:t xml:space="preserve">Proposal 3: Based on the assumptions in proposal 1, </w:t>
      </w:r>
      <w:r w:rsidRPr="006D7888">
        <w:rPr>
          <w:b/>
          <w:lang w:val="en-US" w:eastAsia="zh-CN"/>
        </w:rPr>
        <w:t>the missed ACK/NACK rate needs to be reevaluated for each possible PDSCH/PDCCH/PUSCH/PUCCH numerology.</w:t>
      </w:r>
    </w:p>
    <w:p w:rsidR="006D7888" w:rsidRPr="00B20B49" w:rsidRDefault="006D7888" w:rsidP="00B20B49">
      <w:pPr>
        <w:tabs>
          <w:tab w:val="left" w:pos="7190"/>
        </w:tabs>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6D7888" w:rsidRPr="006D7888" w:rsidRDefault="006D7888" w:rsidP="006D7888">
      <w:pPr>
        <w:tabs>
          <w:tab w:val="left" w:pos="7190"/>
        </w:tabs>
        <w:rPr>
          <w:b/>
          <w:lang w:val="en-US" w:eastAsia="zh-CN"/>
        </w:rPr>
      </w:pPr>
      <w:r>
        <w:rPr>
          <w:b/>
          <w:lang w:val="en-US" w:eastAsia="zh-CN"/>
        </w:rPr>
        <w:t xml:space="preserve">Proposal 1: The assumptions for NR serving </w:t>
      </w:r>
      <w:r w:rsidRPr="006D7888">
        <w:rPr>
          <w:b/>
          <w:lang w:val="en-US" w:eastAsia="zh-CN"/>
        </w:rPr>
        <w:t>cell impact of LTE CGI reading are</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Up to 3 attempts are needed for MIB decoding and up to 3 attempts are needed for SIB1 decoding at -6dB Es/Iot</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This causes up to 5+5 interruptions of PDSCH/PDCCH/PUSCH/PUCCH</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The first interruption causes 8+1 subframes to be lost and subsequent interruptions cause 3+1 subframes to be lost on uplink and downlink</w:t>
      </w:r>
    </w:p>
    <w:p w:rsidR="006D7888" w:rsidRPr="006D7888" w:rsidRDefault="006D7888" w:rsidP="006D7888">
      <w:pPr>
        <w:pStyle w:val="ListParagraph"/>
        <w:numPr>
          <w:ilvl w:val="2"/>
          <w:numId w:val="39"/>
        </w:numPr>
        <w:tabs>
          <w:tab w:val="left" w:pos="7190"/>
        </w:tabs>
        <w:rPr>
          <w:b/>
          <w:sz w:val="20"/>
          <w:szCs w:val="20"/>
          <w:lang w:val="en-US" w:eastAsia="zh-CN"/>
        </w:rPr>
      </w:pPr>
      <w:r w:rsidRPr="006D7888">
        <w:rPr>
          <w:b/>
          <w:sz w:val="20"/>
          <w:szCs w:val="20"/>
          <w:lang w:val="en-US" w:eastAsia="zh-CN"/>
        </w:rPr>
        <w:t xml:space="preserve"> The additional “+1” subframe is due to possible async operation of the target cell for CGI decoding</w:t>
      </w:r>
    </w:p>
    <w:p w:rsidR="006D7888" w:rsidRPr="006D7888" w:rsidRDefault="006D7888" w:rsidP="006D7888">
      <w:pPr>
        <w:tabs>
          <w:tab w:val="left" w:pos="7190"/>
        </w:tabs>
        <w:rPr>
          <w:b/>
          <w:lang w:val="en-US" w:eastAsia="zh-CN"/>
        </w:rPr>
      </w:pPr>
      <w:r>
        <w:rPr>
          <w:b/>
          <w:lang w:val="en-US" w:eastAsia="zh-CN"/>
        </w:rPr>
        <w:t>Proposal 2 : CGI reporting delay for an LTE target cell when reporting to an NR serving cell is 150ms</w:t>
      </w:r>
    </w:p>
    <w:p w:rsidR="00B64EA8" w:rsidRPr="006D7888" w:rsidRDefault="006D7888" w:rsidP="006D7888">
      <w:pPr>
        <w:tabs>
          <w:tab w:val="left" w:pos="7190"/>
        </w:tabs>
        <w:rPr>
          <w:b/>
          <w:lang w:val="en-US" w:eastAsia="zh-CN"/>
        </w:rPr>
      </w:pPr>
      <w:r>
        <w:rPr>
          <w:b/>
          <w:lang w:val="en-US" w:eastAsia="zh-CN"/>
        </w:rPr>
        <w:t xml:space="preserve">Proposal 3: Based on the assumptions in proposal 1, </w:t>
      </w:r>
      <w:r w:rsidRPr="006D7888">
        <w:rPr>
          <w:b/>
          <w:lang w:val="en-US" w:eastAsia="zh-CN"/>
        </w:rPr>
        <w:t>the missed ACK/NACK rate needs to be reevaluated for each possible PDSCH/PDCCH/PUSCH/PUCCH numerology.</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1" w:name="_Ref12541337"/>
      <w:bookmarkStart w:id="2" w:name="_Ref19802584"/>
      <w:r w:rsidRPr="00DE0401">
        <w:rPr>
          <w:szCs w:val="20"/>
          <w:lang w:eastAsia="zh-CN"/>
        </w:rPr>
        <w:t>RP-192157</w:t>
      </w:r>
      <w:r w:rsidR="003F08E6">
        <w:rPr>
          <w:szCs w:val="20"/>
          <w:lang w:eastAsia="zh-CN"/>
        </w:rPr>
        <w:t>, “</w:t>
      </w:r>
      <w:r>
        <w:rPr>
          <w:szCs w:val="20"/>
          <w:lang w:eastAsia="zh-CN"/>
        </w:rPr>
        <w:t>Revised WID:RRM enhancement in R16</w:t>
      </w:r>
      <w:r w:rsidR="003F08E6">
        <w:rPr>
          <w:szCs w:val="20"/>
          <w:lang w:eastAsia="zh-CN"/>
        </w:rPr>
        <w:t xml:space="preserve">”, </w:t>
      </w:r>
      <w:bookmarkEnd w:id="1"/>
      <w:r>
        <w:rPr>
          <w:szCs w:val="20"/>
          <w:lang w:eastAsia="zh-CN"/>
        </w:rPr>
        <w:t>Intel</w:t>
      </w:r>
      <w:bookmarkEnd w:id="2"/>
    </w:p>
    <w:p w:rsidR="00B64EA8" w:rsidRDefault="00E0511C" w:rsidP="000E35CC">
      <w:pPr>
        <w:pStyle w:val="3GPPNormalText"/>
        <w:numPr>
          <w:ilvl w:val="0"/>
          <w:numId w:val="5"/>
        </w:numPr>
        <w:rPr>
          <w:szCs w:val="20"/>
          <w:lang w:eastAsia="zh-CN"/>
        </w:rPr>
      </w:pPr>
      <w:bookmarkStart w:id="3" w:name="_Ref20146473"/>
      <w:r>
        <w:rPr>
          <w:szCs w:val="20"/>
          <w:lang w:eastAsia="zh-CN"/>
        </w:rPr>
        <w:t>R4-101065, “</w:t>
      </w:r>
      <w:r w:rsidR="00B64EA8" w:rsidRPr="00B64EA8">
        <w:rPr>
          <w:szCs w:val="20"/>
          <w:lang w:eastAsia="zh-CN"/>
        </w:rPr>
        <w:t>Minimum requirements on SI reading for HeNB inbound mobility</w:t>
      </w:r>
      <w:bookmarkEnd w:id="3"/>
      <w:r>
        <w:rPr>
          <w:szCs w:val="20"/>
          <w:lang w:eastAsia="zh-CN"/>
        </w:rPr>
        <w:t>”, NTT Docomo, Telecom Italia</w:t>
      </w:r>
    </w:p>
    <w:p w:rsidR="00E0511C" w:rsidRDefault="00E0511C" w:rsidP="000E35CC">
      <w:pPr>
        <w:pStyle w:val="3GPPNormalText"/>
        <w:numPr>
          <w:ilvl w:val="0"/>
          <w:numId w:val="5"/>
        </w:numPr>
        <w:rPr>
          <w:szCs w:val="20"/>
          <w:lang w:eastAsia="zh-CN"/>
        </w:rPr>
      </w:pPr>
      <w:r>
        <w:rPr>
          <w:szCs w:val="20"/>
          <w:lang w:eastAsia="zh-CN"/>
        </w:rPr>
        <w:t>R4-100036, “</w:t>
      </w:r>
      <w:r w:rsidRPr="00E0511C">
        <w:rPr>
          <w:szCs w:val="20"/>
          <w:lang w:eastAsia="zh-CN"/>
        </w:rPr>
        <w:t>Consideration on the HeNB inbound mobility simulation assumptions</w:t>
      </w:r>
      <w:r>
        <w:rPr>
          <w:szCs w:val="20"/>
          <w:lang w:eastAsia="zh-CN"/>
        </w:rPr>
        <w:t>”, Samsung</w:t>
      </w:r>
    </w:p>
    <w:p w:rsidR="00DE20C7" w:rsidRDefault="00DE20C7" w:rsidP="000E35CC">
      <w:pPr>
        <w:pStyle w:val="3GPPNormalText"/>
        <w:numPr>
          <w:ilvl w:val="0"/>
          <w:numId w:val="5"/>
        </w:numPr>
        <w:rPr>
          <w:szCs w:val="20"/>
          <w:lang w:eastAsia="zh-CN"/>
        </w:rPr>
      </w:pPr>
      <w:bookmarkStart w:id="4" w:name="_Ref20205518"/>
      <w:r>
        <w:rPr>
          <w:szCs w:val="20"/>
          <w:lang w:eastAsia="zh-CN"/>
        </w:rPr>
        <w:t>R4-102294, “Corrections to CSG SI reading core requirement”,</w:t>
      </w:r>
      <w:r w:rsidRPr="00DE20C7">
        <w:rPr>
          <w:noProof/>
        </w:rPr>
        <w:t xml:space="preserve"> </w:t>
      </w:r>
      <w:r>
        <w:rPr>
          <w:noProof/>
        </w:rPr>
        <w:t>Nokia, Nokia Siemens Networks, Qualcomm, Ericsson, ST-Ericsson, Motorola, Samsung</w:t>
      </w:r>
      <w:bookmarkEnd w:id="4"/>
    </w:p>
    <w:sectPr w:rsidR="00DE20C7" w:rsidSect="00034006">
      <w:footerReference w:type="even" r:id="rId15"/>
      <w:footerReference w:type="default" r:id="rId16"/>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65B" w:rsidRDefault="00FB365B">
      <w:r>
        <w:separator/>
      </w:r>
    </w:p>
  </w:endnote>
  <w:endnote w:type="continuationSeparator" w:id="0">
    <w:p w:rsidR="00FB365B" w:rsidRDefault="00F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65B" w:rsidRDefault="00FB365B">
      <w:r>
        <w:separator/>
      </w:r>
    </w:p>
  </w:footnote>
  <w:footnote w:type="continuationSeparator" w:id="0">
    <w:p w:rsidR="00FB365B" w:rsidRDefault="00FB3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31D6"/>
    <w:multiLevelType w:val="hybridMultilevel"/>
    <w:tmpl w:val="3F527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265BDA"/>
    <w:multiLevelType w:val="hybridMultilevel"/>
    <w:tmpl w:val="732486D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5DF274F4">
      <w:start w:val="1"/>
      <w:numFmt w:val="bullet"/>
      <w:lvlText w:val="-"/>
      <w:lvlJc w:val="left"/>
      <w:pPr>
        <w:ind w:left="2160" w:hanging="360"/>
      </w:pPr>
      <w:rPr>
        <w:rFonts w:ascii="Times New Roman" w:eastAsia="MS Mincho" w:hAnsi="Times New Roman" w:cs="Times New Roman"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7F5789"/>
    <w:multiLevelType w:val="hybridMultilevel"/>
    <w:tmpl w:val="65EEB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AE772F"/>
    <w:multiLevelType w:val="hybridMultilevel"/>
    <w:tmpl w:val="1CE0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37"/>
  </w:num>
  <w:num w:numId="3">
    <w:abstractNumId w:val="39"/>
  </w:num>
  <w:num w:numId="4">
    <w:abstractNumId w:val="12"/>
  </w:num>
  <w:num w:numId="5">
    <w:abstractNumId w:val="15"/>
  </w:num>
  <w:num w:numId="6">
    <w:abstractNumId w:val="33"/>
  </w:num>
  <w:num w:numId="7">
    <w:abstractNumId w:val="13"/>
  </w:num>
  <w:num w:numId="8">
    <w:abstractNumId w:val="26"/>
  </w:num>
  <w:num w:numId="9">
    <w:abstractNumId w:val="16"/>
  </w:num>
  <w:num w:numId="10">
    <w:abstractNumId w:val="17"/>
  </w:num>
  <w:num w:numId="11">
    <w:abstractNumId w:val="9"/>
  </w:num>
  <w:num w:numId="12">
    <w:abstractNumId w:val="23"/>
  </w:num>
  <w:num w:numId="13">
    <w:abstractNumId w:val="0"/>
  </w:num>
  <w:num w:numId="14">
    <w:abstractNumId w:val="1"/>
  </w:num>
  <w:num w:numId="15">
    <w:abstractNumId w:val="38"/>
  </w:num>
  <w:num w:numId="16">
    <w:abstractNumId w:val="24"/>
  </w:num>
  <w:num w:numId="17">
    <w:abstractNumId w:val="25"/>
  </w:num>
  <w:num w:numId="18">
    <w:abstractNumId w:val="11"/>
  </w:num>
  <w:num w:numId="19">
    <w:abstractNumId w:val="29"/>
  </w:num>
  <w:num w:numId="20">
    <w:abstractNumId w:val="31"/>
  </w:num>
  <w:num w:numId="21">
    <w:abstractNumId w:val="8"/>
  </w:num>
  <w:num w:numId="22">
    <w:abstractNumId w:val="35"/>
  </w:num>
  <w:num w:numId="23">
    <w:abstractNumId w:val="4"/>
  </w:num>
  <w:num w:numId="24">
    <w:abstractNumId w:val="27"/>
  </w:num>
  <w:num w:numId="25">
    <w:abstractNumId w:val="10"/>
  </w:num>
  <w:num w:numId="26">
    <w:abstractNumId w:val="30"/>
  </w:num>
  <w:num w:numId="27">
    <w:abstractNumId w:val="21"/>
  </w:num>
  <w:num w:numId="28">
    <w:abstractNumId w:val="22"/>
  </w:num>
  <w:num w:numId="29">
    <w:abstractNumId w:val="36"/>
  </w:num>
  <w:num w:numId="30">
    <w:abstractNumId w:val="32"/>
  </w:num>
  <w:num w:numId="31">
    <w:abstractNumId w:val="34"/>
  </w:num>
  <w:num w:numId="32">
    <w:abstractNumId w:val="14"/>
  </w:num>
  <w:num w:numId="33">
    <w:abstractNumId w:val="20"/>
  </w:num>
  <w:num w:numId="34">
    <w:abstractNumId w:val="3"/>
  </w:num>
  <w:num w:numId="35">
    <w:abstractNumId w:val="6"/>
  </w:num>
  <w:num w:numId="36">
    <w:abstractNumId w:val="7"/>
  </w:num>
  <w:num w:numId="37">
    <w:abstractNumId w:val="28"/>
  </w:num>
  <w:num w:numId="38">
    <w:abstractNumId w:val="18"/>
  </w:num>
  <w:num w:numId="39">
    <w:abstractNumId w:val="5"/>
  </w:num>
  <w:num w:numId="40">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C3E"/>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60"/>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28"/>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884"/>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0A1"/>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003"/>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0E4"/>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7B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4BB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888"/>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D89"/>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73B"/>
    <w:rsid w:val="007458E0"/>
    <w:rsid w:val="00745D9A"/>
    <w:rsid w:val="0074621D"/>
    <w:rsid w:val="007463B9"/>
    <w:rsid w:val="0074697D"/>
    <w:rsid w:val="00746F72"/>
    <w:rsid w:val="0074710A"/>
    <w:rsid w:val="00750205"/>
    <w:rsid w:val="00750207"/>
    <w:rsid w:val="00750C3A"/>
    <w:rsid w:val="00751024"/>
    <w:rsid w:val="00751067"/>
    <w:rsid w:val="0075135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67"/>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11"/>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A5D"/>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B49"/>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EA8"/>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19"/>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750"/>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9B1"/>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0C7"/>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11C"/>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9E3"/>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5B"/>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69B"/>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9E9D0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DA2C39E-0CAD-4430-98FE-756B9E64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2019-10-03T15:33:00Z</dcterms:created>
  <dcterms:modified xsi:type="dcterms:W3CDTF">2019-10-04T14:46:00Z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